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9EA21" w14:textId="71276814" w:rsidR="007F03FC" w:rsidRPr="007D0828" w:rsidRDefault="007F03FC" w:rsidP="00685E23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/>
          <w:b/>
          <w:sz w:val="24"/>
        </w:rPr>
        <w:t>INDONAL FORTE PLUS®</w:t>
      </w:r>
      <w:r>
        <w:rPr>
          <w:rFonts w:ascii="Times New Roman" w:hAnsi="Times New Roman"/>
          <w:sz w:val="12"/>
        </w:rPr>
        <w:t xml:space="preserve">  doplněk stravy</w:t>
      </w:r>
    </w:p>
    <w:p w14:paraId="0B27A06D" w14:textId="77777777" w:rsidR="007F03FC" w:rsidRPr="007D0828" w:rsidRDefault="007F03FC" w:rsidP="00405303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0A421E10" w14:textId="77777777" w:rsidR="000247AE" w:rsidRPr="007F5591" w:rsidRDefault="007F03FC" w:rsidP="007F5591">
      <w:pPr>
        <w:spacing w:after="0" w:line="240" w:lineRule="auto"/>
        <w:jc w:val="both"/>
        <w:rPr>
          <w:rFonts w:ascii="Times New Roman" w:hAnsi="Times New Roman" w:cs="Times New Roman"/>
          <w:b/>
          <w:sz w:val="12"/>
          <w:szCs w:val="12"/>
        </w:rPr>
      </w:pPr>
      <w:r>
        <w:rPr>
          <w:rFonts w:ascii="Times New Roman" w:hAnsi="Times New Roman"/>
          <w:b/>
          <w:sz w:val="12"/>
        </w:rPr>
        <w:t>Složení</w:t>
      </w:r>
    </w:p>
    <w:p w14:paraId="25880296" w14:textId="46BE404D" w:rsidR="007F03FC" w:rsidRPr="007F5591" w:rsidRDefault="007F03FC" w:rsidP="007F5591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/>
          <w:sz w:val="12"/>
        </w:rPr>
        <w:t>1 kapsle obsahuje: Brassica extrakt 200 mg, kurkuminový komplex 100 mg, vitamin B6 0,5 mg, zinek 2,5 mg, vitamin D3 6,25 µg (250 IU).</w:t>
      </w:r>
    </w:p>
    <w:p w14:paraId="1365D32B" w14:textId="77777777" w:rsidR="007F03FC" w:rsidRPr="007F5591" w:rsidRDefault="007F03FC" w:rsidP="007F5591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/>
          <w:sz w:val="12"/>
        </w:rPr>
        <w:t>Kapsle: želatinová.</w:t>
      </w:r>
    </w:p>
    <w:p w14:paraId="387D0814" w14:textId="77777777" w:rsidR="007D0828" w:rsidRPr="007F5591" w:rsidRDefault="007D0828" w:rsidP="007F5591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4462D10B" w14:textId="11F67F44" w:rsidR="007F03FC" w:rsidRPr="007F5591" w:rsidRDefault="007F03FC" w:rsidP="007F5591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/>
          <w:sz w:val="12"/>
        </w:rPr>
        <w:t>Vůně produktu je charakteristická pro brukvovité rostliny a neznamená zhoršenou kvalitu produktu.</w:t>
      </w:r>
    </w:p>
    <w:p w14:paraId="1DFA6439" w14:textId="77777777" w:rsidR="007F03FC" w:rsidRPr="007F5591" w:rsidRDefault="007F03FC" w:rsidP="007F5591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29E38E4A" w14:textId="77777777" w:rsidR="007F03FC" w:rsidRPr="007F5591" w:rsidRDefault="007F03FC" w:rsidP="007F5591">
      <w:pPr>
        <w:spacing w:after="0" w:line="240" w:lineRule="auto"/>
        <w:jc w:val="both"/>
        <w:rPr>
          <w:rFonts w:ascii="Times New Roman" w:hAnsi="Times New Roman" w:cs="Times New Roman"/>
          <w:b/>
          <w:sz w:val="12"/>
          <w:szCs w:val="12"/>
        </w:rPr>
      </w:pPr>
      <w:r>
        <w:rPr>
          <w:rFonts w:ascii="Times New Roman" w:hAnsi="Times New Roman"/>
          <w:b/>
          <w:sz w:val="12"/>
        </w:rPr>
        <w:t>Charakteristika</w:t>
      </w:r>
    </w:p>
    <w:p w14:paraId="2EA1C7EC" w14:textId="77777777" w:rsidR="006964E3" w:rsidRPr="007F5591" w:rsidRDefault="006964E3" w:rsidP="007F5591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/>
          <w:sz w:val="12"/>
        </w:rPr>
        <w:t>Doplněk stravy s obsahem Brassica extraktu jako přírodního zdroje indolových sloučenin. Dále obsahuje kurkuminový komplex, vitamin B6, vitamin D3 a zinek.</w:t>
      </w:r>
    </w:p>
    <w:p w14:paraId="0B7F059B" w14:textId="355C1AD4" w:rsidR="007D0828" w:rsidRPr="007F5591" w:rsidRDefault="007F03FC" w:rsidP="007F5591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  <w:r w:rsidRPr="007F5591">
        <w:rPr>
          <w:rFonts w:ascii="Times New Roman" w:hAnsi="Times New Roman" w:cs="Times New Roman"/>
          <w:b/>
          <w:sz w:val="12"/>
          <w:szCs w:val="12"/>
        </w:rPr>
        <w:t xml:space="preserve"> </w:t>
      </w:r>
    </w:p>
    <w:p w14:paraId="52328476" w14:textId="798702F4" w:rsidR="007F03FC" w:rsidRPr="007F5591" w:rsidRDefault="0052229B" w:rsidP="007F5591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/>
          <w:sz w:val="12"/>
        </w:rPr>
        <w:t>Indolové sloučeniny</w:t>
      </w:r>
      <w:r w:rsidR="0001787E">
        <w:rPr>
          <w:rFonts w:ascii="Times New Roman" w:hAnsi="Times New Roman"/>
          <w:sz w:val="12"/>
        </w:rPr>
        <w:t>,</w:t>
      </w:r>
      <w:r>
        <w:rPr>
          <w:rFonts w:ascii="Times New Roman" w:hAnsi="Times New Roman"/>
          <w:sz w:val="12"/>
        </w:rPr>
        <w:t xml:space="preserve"> vyskytující se v brukvovitých rostlinách</w:t>
      </w:r>
      <w:r w:rsidR="00493C1C">
        <w:rPr>
          <w:rFonts w:ascii="Times New Roman" w:hAnsi="Times New Roman"/>
          <w:sz w:val="12"/>
        </w:rPr>
        <w:t>,</w:t>
      </w:r>
      <w:r>
        <w:rPr>
          <w:rFonts w:ascii="Times New Roman" w:hAnsi="Times New Roman"/>
          <w:sz w:val="12"/>
        </w:rPr>
        <w:t xml:space="preserve"> se stávají velmi populárními látkami na přírodní bázi v prevenci onemocnění hormonálně závislých tkání (prs</w:t>
      </w:r>
      <w:r w:rsidR="00224B23">
        <w:rPr>
          <w:rFonts w:ascii="Times New Roman" w:hAnsi="Times New Roman"/>
          <w:sz w:val="12"/>
        </w:rPr>
        <w:t>ou</w:t>
      </w:r>
      <w:r>
        <w:rPr>
          <w:rFonts w:ascii="Times New Roman" w:hAnsi="Times New Roman"/>
          <w:sz w:val="12"/>
        </w:rPr>
        <w:t xml:space="preserve">, dělohy a vaječníků) *1 </w:t>
      </w:r>
      <w:r w:rsidR="009E756A">
        <w:rPr>
          <w:rFonts w:ascii="Times New Roman" w:hAnsi="Times New Roman"/>
          <w:sz w:val="12"/>
        </w:rPr>
        <w:t xml:space="preserve">a </w:t>
      </w:r>
      <w:r>
        <w:rPr>
          <w:rFonts w:ascii="Times New Roman" w:hAnsi="Times New Roman"/>
          <w:sz w:val="12"/>
        </w:rPr>
        <w:t>zejména těch, která souvisejí s metabolismem estrogenu. *3</w:t>
      </w:r>
    </w:p>
    <w:p w14:paraId="771083F9" w14:textId="77777777" w:rsidR="007F03FC" w:rsidRPr="007F5591" w:rsidRDefault="007F03FC" w:rsidP="007F5591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/>
          <w:sz w:val="12"/>
        </w:rPr>
        <w:t xml:space="preserve">Estrogen má tři základní druhy - </w:t>
      </w:r>
      <w:r>
        <w:rPr>
          <w:rFonts w:ascii="Times New Roman" w:hAnsi="Times New Roman"/>
          <w:i/>
          <w:sz w:val="12"/>
        </w:rPr>
        <w:t>estradiol, estron a estriol</w:t>
      </w:r>
      <w:r>
        <w:rPr>
          <w:rFonts w:ascii="Times New Roman" w:hAnsi="Times New Roman"/>
          <w:sz w:val="12"/>
        </w:rPr>
        <w:t>. Estradiol řídí pohlavní vývoj žen, podporuje růst a funkci ženských pohlavních orgánů a sekundárních ženských pohlavních znaků a podílí se na homeostáze minerálů v kostech. Vzájemně nezávislé studie z USA*2 dokazují, že I3C:</w:t>
      </w:r>
    </w:p>
    <w:p w14:paraId="38F9AE08" w14:textId="5D963508" w:rsidR="00A03DC0" w:rsidRDefault="007F03FC" w:rsidP="00A03DC0">
      <w:pPr>
        <w:spacing w:after="0" w:line="240" w:lineRule="auto"/>
        <w:jc w:val="both"/>
        <w:rPr>
          <w:rFonts w:ascii="Times New Roman" w:hAnsi="Times New Roman" w:cs="Times New Roman"/>
          <w:i/>
          <w:sz w:val="12"/>
          <w:szCs w:val="12"/>
        </w:rPr>
      </w:pPr>
      <w:r>
        <w:rPr>
          <w:rFonts w:ascii="Times New Roman" w:hAnsi="Times New Roman"/>
          <w:i/>
          <w:sz w:val="12"/>
        </w:rPr>
        <w:t>- ovlivňuje metabolismus estrogenů směrem k tvorbě 2-hydroxylovaných metabolitů (méně estrogenně aktivních metabolitů s nižším proliferativním potenciálem).</w:t>
      </w:r>
    </w:p>
    <w:p w14:paraId="514EF626" w14:textId="4EC6BAD0" w:rsidR="007F03FC" w:rsidRPr="007F5591" w:rsidRDefault="00A03DC0" w:rsidP="00A03DC0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/>
          <w:b/>
          <w:sz w:val="12"/>
        </w:rPr>
        <w:t>Kurkumin</w:t>
      </w:r>
      <w:r>
        <w:rPr>
          <w:rFonts w:ascii="Times New Roman" w:hAnsi="Times New Roman"/>
          <w:sz w:val="12"/>
        </w:rPr>
        <w:t xml:space="preserve"> vykazuje chemopreventivní účinek prostřednictvím modulace biologických procesů. Důležitá studie založená na 25 pacientech s několika různými premaligními nebo vysoce rizikovými lézemi naznačila, že perorálně užívaný kurkumin může mít chemopreventivní účinky na progresi těchto lézí. *4</w:t>
      </w:r>
    </w:p>
    <w:p w14:paraId="5D45FEB2" w14:textId="4DA18876" w:rsidR="00F00A49" w:rsidRPr="007F5591" w:rsidRDefault="00BB2228" w:rsidP="007F5591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b/>
          <w:sz w:val="12"/>
        </w:rPr>
        <w:t xml:space="preserve">Vitaminy a minerální látky. </w:t>
      </w:r>
      <w:r>
        <w:rPr>
          <w:rFonts w:ascii="Times New Roman" w:hAnsi="Times New Roman"/>
          <w:sz w:val="12"/>
        </w:rPr>
        <w:t>Vitamin B6 přispívá k regulaci hormonální aktivity. Zinek přispívá k normální plodnosti</w:t>
      </w:r>
      <w:r w:rsidR="006A664E">
        <w:rPr>
          <w:rFonts w:ascii="Times New Roman" w:hAnsi="Times New Roman"/>
          <w:sz w:val="12"/>
        </w:rPr>
        <w:t>,</w:t>
      </w:r>
      <w:r>
        <w:rPr>
          <w:rFonts w:ascii="Times New Roman" w:hAnsi="Times New Roman"/>
          <w:sz w:val="12"/>
        </w:rPr>
        <w:t xml:space="preserve"> reprodukci a k ochraně buněk před oxidativním stresem. Vitamin D přispívá k normální funkci imunitního systému a podílí se na procesu dělení buněk.</w:t>
      </w:r>
    </w:p>
    <w:p w14:paraId="5546EEDD" w14:textId="48890CC5" w:rsidR="00EC742F" w:rsidRPr="00EC742F" w:rsidRDefault="00EC742F" w:rsidP="007F55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2"/>
          <w:szCs w:val="12"/>
        </w:rPr>
      </w:pPr>
      <w:r>
        <w:rPr>
          <w:rFonts w:ascii="Times New Roman" w:hAnsi="Times New Roman"/>
          <w:b/>
          <w:sz w:val="12"/>
        </w:rPr>
        <w:t>Klinické testování indolových sloučenin v praxi</w:t>
      </w:r>
    </w:p>
    <w:p w14:paraId="459D0BB3" w14:textId="42CE9872" w:rsidR="007F03FC" w:rsidRPr="007F5591" w:rsidRDefault="00EC742F" w:rsidP="007F55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/>
          <w:sz w:val="12"/>
        </w:rPr>
        <w:t xml:space="preserve">Od roku 1991 probíhá výzkum I3C v souvislosti s onemocněními vyvolanými lidským papilomavirem (HPV) a také u pacientek se zvýšeným rizikem rakoviny prsu. Ve studiích, které používaly metabolity I3C jako klinicky sledované ukazatele, byly pozorovány příznivé změny v metabolismu estrogenu. Bylo prokázáno, že </w:t>
      </w:r>
      <w:r w:rsidR="00E91482">
        <w:rPr>
          <w:rFonts w:ascii="Times New Roman" w:hAnsi="Times New Roman"/>
          <w:sz w:val="12"/>
        </w:rPr>
        <w:t xml:space="preserve">produkty </w:t>
      </w:r>
      <w:r>
        <w:rPr>
          <w:rFonts w:ascii="Times New Roman" w:hAnsi="Times New Roman"/>
          <w:sz w:val="12"/>
        </w:rPr>
        <w:t xml:space="preserve"> obsahující I3C byly užívány až 82 měsíců bez hlášených nežádoucích účinků ve vztahu k I3C.</w:t>
      </w:r>
    </w:p>
    <w:p w14:paraId="34D6BCCD" w14:textId="69751F89" w:rsidR="007F03FC" w:rsidRPr="007F5591" w:rsidRDefault="007F03FC" w:rsidP="007F55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/>
          <w:sz w:val="12"/>
        </w:rPr>
        <w:t>Dvě studie zkoumaly užívání I3C u  žen se zvýšenými rizikovými faktory rakoviny prsu po dobu od 4 týdnů do 3 měsíců s perorální dávkou I3C od 50 do 400 mg. Podobně jako ve studiích onemocnění spojených s infekcí papilomavirem byly výsledky pozitivní, s příznivou změnou poměru metabolitů estrogenu.*2</w:t>
      </w:r>
    </w:p>
    <w:p w14:paraId="4B4E73C3" w14:textId="77777777" w:rsidR="007F5591" w:rsidRDefault="007F5591" w:rsidP="007F5591">
      <w:pPr>
        <w:spacing w:after="0" w:line="240" w:lineRule="auto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7B929FC1" w14:textId="177A5653" w:rsidR="007F5591" w:rsidRPr="007D0828" w:rsidRDefault="007F5591" w:rsidP="007F5591">
      <w:pPr>
        <w:spacing w:after="0" w:line="240" w:lineRule="auto"/>
        <w:jc w:val="both"/>
        <w:rPr>
          <w:rFonts w:ascii="Times New Roman" w:hAnsi="Times New Roman" w:cs="Times New Roman"/>
          <w:b/>
          <w:sz w:val="12"/>
          <w:szCs w:val="12"/>
        </w:rPr>
      </w:pPr>
      <w:r>
        <w:rPr>
          <w:rFonts w:ascii="Times New Roman" w:hAnsi="Times New Roman"/>
          <w:b/>
          <w:sz w:val="12"/>
        </w:rPr>
        <w:t>Doporučené dávkování</w:t>
      </w:r>
    </w:p>
    <w:p w14:paraId="4307AF3E" w14:textId="77777777" w:rsidR="007F5591" w:rsidRPr="007D0828" w:rsidRDefault="007F5591" w:rsidP="007F55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/>
          <w:sz w:val="12"/>
        </w:rPr>
        <w:t>INDONAL® je určen k vnitřnímu užití, užívá se s jídlem a doporučuje se zapít dostatečným množstvím tekutiny. Při preventivním podávání se doporučuje užívat 2 kapsle denně. Při užívání na podporu léčby je vhodné užívat 3 kapsle denně po dobu 3 měsíců. Denní dávku se doporučuje rozdělit do více částí dne.</w:t>
      </w:r>
    </w:p>
    <w:p w14:paraId="18DAA861" w14:textId="77777777" w:rsidR="007F5591" w:rsidRPr="007D0828" w:rsidRDefault="007F5591" w:rsidP="007F55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/>
          <w:sz w:val="12"/>
        </w:rPr>
        <w:t>Opakování cyklu užívání doplňku stravy INDONAL® závisí na výsledcích kontrolních gynekologických vyšetření. Před opakováním cyklu se doporučuje alespoň měsíční přestávka. Opakování cyklu je vhodné konzultovat s gynekologem. INDONAL® lze užívat během radioterapie. Je vhodný také pro diabetiky.</w:t>
      </w:r>
    </w:p>
    <w:p w14:paraId="561EEDB8" w14:textId="77777777" w:rsidR="007F5591" w:rsidRPr="007D0828" w:rsidRDefault="007F5591" w:rsidP="004053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2D15D818" w14:textId="77777777" w:rsidR="007F03FC" w:rsidRPr="007D0828" w:rsidRDefault="007F03FC" w:rsidP="00405303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1F9B75DE" w14:textId="77777777" w:rsidR="004B3E37" w:rsidRDefault="004B3E37" w:rsidP="00405303">
      <w:pPr>
        <w:spacing w:after="0" w:line="240" w:lineRule="auto"/>
        <w:rPr>
          <w:rFonts w:ascii="Times New Roman" w:hAnsi="Times New Roman" w:cs="Times New Roman"/>
          <w:b/>
          <w:sz w:val="12"/>
          <w:szCs w:val="12"/>
        </w:rPr>
      </w:pPr>
    </w:p>
    <w:p w14:paraId="2ECB14E2" w14:textId="77777777" w:rsidR="004B3E37" w:rsidRDefault="004B3E37" w:rsidP="00405303">
      <w:pPr>
        <w:spacing w:after="0" w:line="240" w:lineRule="auto"/>
        <w:rPr>
          <w:rFonts w:ascii="Times New Roman" w:hAnsi="Times New Roman" w:cs="Times New Roman"/>
          <w:b/>
          <w:sz w:val="12"/>
          <w:szCs w:val="12"/>
        </w:rPr>
      </w:pPr>
    </w:p>
    <w:p w14:paraId="50109384" w14:textId="2A0577A1" w:rsidR="001A2D5A" w:rsidRPr="007D0828" w:rsidRDefault="006752E7" w:rsidP="00405303">
      <w:pPr>
        <w:spacing w:after="0" w:line="240" w:lineRule="auto"/>
        <w:rPr>
          <w:rFonts w:ascii="Times New Roman" w:hAnsi="Times New Roman" w:cs="Times New Roman"/>
          <w:b/>
          <w:sz w:val="12"/>
          <w:szCs w:val="12"/>
        </w:rPr>
      </w:pPr>
      <w:r w:rsidRPr="007D0828">
        <w:rPr>
          <w:rFonts w:ascii="Times New Roman" w:hAnsi="Times New Roman" w:cs="Times New Roman"/>
          <w:b/>
          <w:noProof/>
          <w:sz w:val="12"/>
          <w:szCs w:val="12"/>
          <w:lang w:eastAsia="sk-SK"/>
        </w:rPr>
        <w:drawing>
          <wp:anchor distT="0" distB="0" distL="114300" distR="114300" simplePos="0" relativeHeight="251659264" behindDoc="1" locked="0" layoutInCell="1" allowOverlap="1" wp14:anchorId="72F76F32" wp14:editId="4ED1FB84">
            <wp:simplePos x="0" y="0"/>
            <wp:positionH relativeFrom="margin">
              <wp:posOffset>2409825</wp:posOffset>
            </wp:positionH>
            <wp:positionV relativeFrom="bottomMargin">
              <wp:posOffset>-433705</wp:posOffset>
            </wp:positionV>
            <wp:extent cx="3186430" cy="403860"/>
            <wp:effectExtent l="0" t="0" r="0" b="0"/>
            <wp:wrapNone/>
            <wp:docPr id="3" name="Obrázok 3" descr="Syner_hlav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yner_hlavic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43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F81648" w14:textId="77777777" w:rsidR="001A2D5A" w:rsidRPr="007D0828" w:rsidRDefault="001A2D5A" w:rsidP="00405303">
      <w:pPr>
        <w:spacing w:after="0" w:line="240" w:lineRule="auto"/>
        <w:rPr>
          <w:rFonts w:ascii="Times New Roman" w:hAnsi="Times New Roman" w:cs="Times New Roman"/>
          <w:b/>
          <w:sz w:val="12"/>
          <w:szCs w:val="12"/>
        </w:rPr>
      </w:pPr>
    </w:p>
    <w:p w14:paraId="4E72F0A0" w14:textId="77777777" w:rsidR="00321AEE" w:rsidRDefault="00321AEE" w:rsidP="00405303">
      <w:pPr>
        <w:spacing w:after="0" w:line="240" w:lineRule="auto"/>
        <w:rPr>
          <w:rFonts w:ascii="Times New Roman" w:hAnsi="Times New Roman"/>
          <w:b/>
          <w:sz w:val="12"/>
        </w:rPr>
      </w:pPr>
    </w:p>
    <w:p w14:paraId="167B8E24" w14:textId="161C1589" w:rsidR="007F03FC" w:rsidRPr="007D0828" w:rsidRDefault="007F03FC" w:rsidP="00405303">
      <w:pPr>
        <w:spacing w:after="0" w:line="240" w:lineRule="auto"/>
        <w:rPr>
          <w:rFonts w:ascii="Times New Roman" w:hAnsi="Times New Roman" w:cs="Times New Roman"/>
          <w:b/>
          <w:sz w:val="12"/>
          <w:szCs w:val="12"/>
        </w:rPr>
      </w:pPr>
      <w:r>
        <w:rPr>
          <w:rFonts w:ascii="Times New Roman" w:hAnsi="Times New Roman"/>
          <w:b/>
          <w:sz w:val="12"/>
        </w:rPr>
        <w:t>Upozornění</w:t>
      </w:r>
    </w:p>
    <w:p w14:paraId="1D08C795" w14:textId="132EBCA2" w:rsidR="007F03FC" w:rsidRPr="007D0828" w:rsidRDefault="007F03FC" w:rsidP="00405303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/>
          <w:sz w:val="12"/>
        </w:rPr>
        <w:t>INDONAL® může mít sníženou účinnost v kombinaci s léky snižujícími sekreci žaludečních šťáv (antacida, H2 blokátory, inhibitory protonové pumpy). INDONAL® nemá účinek u pacientů s mutací cytochromu P450. V takovém případě není účinná látka schopna ovlivnit přeměnu estrogenu na 2α-hydroxyestron. Při potížích se štítnou žlázou konzultujte užívání Indonalu se svým lékařem. Při předávkování</w:t>
      </w:r>
      <w:r w:rsidR="00824F96">
        <w:rPr>
          <w:rFonts w:ascii="Times New Roman" w:hAnsi="Times New Roman"/>
          <w:sz w:val="12"/>
        </w:rPr>
        <w:t xml:space="preserve"> </w:t>
      </w:r>
      <w:r>
        <w:rPr>
          <w:rFonts w:ascii="Times New Roman" w:hAnsi="Times New Roman"/>
          <w:sz w:val="12"/>
        </w:rPr>
        <w:t>byl zaznamenán vzácný výskyt poruch rovnováhy, třesu, nevolnosti a nucení na zvracení nebo bolesti hlavy. V některých případech může vyvolávat plynatost a pocit nadýmání, který vymizí během několika dní. Je důležité dodržovat pravidelnost užívání, protože nepravidelné užívání a jeho přerušení vede ke snížení účinků doplňku stravy INDONAL®. Doplňky stravy se nesmějí používat jako náhrada pestré stravy a zdravého životního stylu. Doplňky stravy se musí uchovávat mimo dosah malých dětí. O užívání v těhotenství a během kojení se poraďte se svým lékařem. V případě výskytu nežádoucích účinků přerušte užívání a poraďte se s lékařem. Vůně produktu neznamená zhoršenou kvalitu produktu. Skladujte při teplotě 10–25 °C na tmavém místě, chladnička není nutná. V případě výskytu nežádoucích účinků přerušte užívání a poraďte se se svým lékařem.</w:t>
      </w:r>
    </w:p>
    <w:p w14:paraId="74DD640F" w14:textId="77777777" w:rsidR="00BA4B01" w:rsidRPr="007D0828" w:rsidRDefault="00BA4B01" w:rsidP="00405303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6C5497D8" w14:textId="77777777" w:rsidR="007F03FC" w:rsidRPr="007D0828" w:rsidRDefault="007F03FC" w:rsidP="00405303">
      <w:pPr>
        <w:spacing w:after="0" w:line="240" w:lineRule="auto"/>
        <w:jc w:val="both"/>
        <w:rPr>
          <w:rFonts w:ascii="Times New Roman" w:hAnsi="Times New Roman" w:cs="Times New Roman"/>
          <w:b/>
          <w:sz w:val="12"/>
          <w:szCs w:val="12"/>
        </w:rPr>
      </w:pPr>
      <w:r>
        <w:rPr>
          <w:rFonts w:ascii="Times New Roman" w:hAnsi="Times New Roman"/>
          <w:b/>
          <w:sz w:val="12"/>
        </w:rPr>
        <w:t>Balení:</w:t>
      </w:r>
    </w:p>
    <w:p w14:paraId="0452382D" w14:textId="77777777" w:rsidR="007F03FC" w:rsidRPr="007D0828" w:rsidRDefault="007F03FC" w:rsidP="00405303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/>
          <w:b/>
          <w:sz w:val="12"/>
        </w:rPr>
        <w:t>INDONAL FORTE PLUS®:</w:t>
      </w:r>
      <w:r>
        <w:rPr>
          <w:rFonts w:ascii="Times New Roman" w:hAnsi="Times New Roman"/>
          <w:sz w:val="12"/>
        </w:rPr>
        <w:t xml:space="preserve">  9×10 kapslí</w:t>
      </w:r>
    </w:p>
    <w:p w14:paraId="6141CFD1" w14:textId="77777777" w:rsidR="007F03FC" w:rsidRPr="007D0828" w:rsidRDefault="007F03FC" w:rsidP="00405303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/>
          <w:sz w:val="12"/>
        </w:rPr>
        <w:t>Datum minimální trvanlivosti je uvedeno na obalu.</w:t>
      </w:r>
    </w:p>
    <w:p w14:paraId="34CE6AFB" w14:textId="77777777" w:rsidR="007F03FC" w:rsidRPr="007D0828" w:rsidRDefault="007F03FC" w:rsidP="00405303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/>
          <w:sz w:val="12"/>
        </w:rPr>
        <w:t xml:space="preserve">INDONAL® se nesmí používat jako náhrada léků předepsaných lékařem. </w:t>
      </w:r>
      <w:r>
        <w:rPr>
          <w:rFonts w:ascii="Times New Roman" w:hAnsi="Times New Roman"/>
          <w:b/>
          <w:sz w:val="12"/>
        </w:rPr>
        <w:t>Pravidelnými prohlídkami u gynekologa můžete předcházet závažným onemocněním.</w:t>
      </w:r>
    </w:p>
    <w:p w14:paraId="7376DF70" w14:textId="77777777" w:rsidR="00E13EF5" w:rsidRPr="00526B7A" w:rsidRDefault="00E13EF5" w:rsidP="00E13EF5">
      <w:pPr>
        <w:spacing w:after="0"/>
        <w:jc w:val="both"/>
        <w:rPr>
          <w:rFonts w:ascii="Times New Roman" w:hAnsi="Times New Roman" w:cs="Times New Roman"/>
          <w:sz w:val="12"/>
          <w:szCs w:val="12"/>
          <w:lang w:val="cs-CZ"/>
        </w:rPr>
      </w:pPr>
      <w:r w:rsidRPr="00526B7A">
        <w:rPr>
          <w:rFonts w:ascii="Times New Roman" w:hAnsi="Times New Roman" w:cs="Times New Roman"/>
          <w:sz w:val="12"/>
          <w:szCs w:val="12"/>
          <w:lang w:val="cs-CZ"/>
        </w:rPr>
        <w:t xml:space="preserve">Výrobce/ distributor: SYNERGIA PHARMACEUTICALS, s.r.o., Varšavská 715/36, 120 00 Praha, Česká republika, </w:t>
      </w:r>
    </w:p>
    <w:p w14:paraId="3266B424" w14:textId="7273E823" w:rsidR="00E13EF5" w:rsidRPr="00526B7A" w:rsidRDefault="00E13EF5" w:rsidP="00E13EF5">
      <w:pPr>
        <w:spacing w:after="0"/>
        <w:jc w:val="both"/>
        <w:rPr>
          <w:rFonts w:ascii="Times New Roman" w:hAnsi="Times New Roman" w:cs="Times New Roman"/>
          <w:sz w:val="12"/>
          <w:szCs w:val="12"/>
          <w:lang w:val="cs-CZ"/>
        </w:rPr>
      </w:pPr>
      <w:r w:rsidRPr="00526B7A">
        <w:rPr>
          <w:rFonts w:ascii="Times New Roman" w:hAnsi="Times New Roman" w:cs="Times New Roman"/>
          <w:sz w:val="12"/>
          <w:szCs w:val="12"/>
          <w:lang w:val="cs-CZ"/>
        </w:rPr>
        <w:t>zákaznický servis: e-mail: office@synergia-pharma.cz, web: www.indonal.</w:t>
      </w:r>
      <w:r w:rsidR="00BA50F4">
        <w:rPr>
          <w:rFonts w:ascii="Times New Roman" w:hAnsi="Times New Roman" w:cs="Times New Roman"/>
          <w:sz w:val="12"/>
          <w:szCs w:val="12"/>
          <w:lang w:val="cs-CZ"/>
        </w:rPr>
        <w:t>cz</w:t>
      </w:r>
      <w:r w:rsidRPr="00526B7A">
        <w:rPr>
          <w:rFonts w:ascii="Times New Roman" w:hAnsi="Times New Roman" w:cs="Times New Roman"/>
          <w:sz w:val="12"/>
          <w:szCs w:val="12"/>
          <w:lang w:val="cs-CZ"/>
        </w:rPr>
        <w:t>,</w:t>
      </w:r>
    </w:p>
    <w:p w14:paraId="291984A6" w14:textId="2F0AA2CC" w:rsidR="00E13EF5" w:rsidRPr="00526B7A" w:rsidRDefault="00E13EF5" w:rsidP="00E13EF5">
      <w:pPr>
        <w:spacing w:after="0"/>
        <w:jc w:val="both"/>
        <w:rPr>
          <w:rFonts w:ascii="Times New Roman" w:hAnsi="Times New Roman" w:cs="Times New Roman"/>
          <w:sz w:val="12"/>
          <w:szCs w:val="12"/>
          <w:lang w:val="cs-CZ"/>
        </w:rPr>
      </w:pPr>
      <w:r w:rsidRPr="00526B7A">
        <w:rPr>
          <w:rFonts w:ascii="Times New Roman" w:hAnsi="Times New Roman" w:cs="Times New Roman"/>
          <w:sz w:val="12"/>
          <w:szCs w:val="12"/>
          <w:lang w:val="cs-CZ"/>
        </w:rPr>
        <w:t>INFO/OBJEDNÁVKY: +420 774 437</w:t>
      </w:r>
      <w:r>
        <w:rPr>
          <w:rFonts w:ascii="Times New Roman" w:hAnsi="Times New Roman" w:cs="Times New Roman"/>
          <w:sz w:val="12"/>
          <w:szCs w:val="12"/>
          <w:lang w:val="cs-CZ"/>
        </w:rPr>
        <w:t> </w:t>
      </w:r>
      <w:r w:rsidRPr="00526B7A">
        <w:rPr>
          <w:rFonts w:ascii="Times New Roman" w:hAnsi="Times New Roman" w:cs="Times New Roman"/>
          <w:sz w:val="12"/>
          <w:szCs w:val="12"/>
          <w:lang w:val="cs-CZ"/>
        </w:rPr>
        <w:t>979</w:t>
      </w:r>
    </w:p>
    <w:p w14:paraId="17D9A9DD" w14:textId="77777777" w:rsidR="007F03FC" w:rsidRDefault="007F03FC" w:rsidP="00405303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7C5FAF09" w14:textId="28203623" w:rsidR="002B388F" w:rsidRPr="002B388F" w:rsidRDefault="002B388F" w:rsidP="00405303">
      <w:pPr>
        <w:spacing w:after="0" w:line="240" w:lineRule="auto"/>
        <w:jc w:val="both"/>
        <w:rPr>
          <w:rFonts w:ascii="Times New Roman" w:hAnsi="Times New Roman" w:cs="Times New Roman"/>
          <w:b/>
          <w:sz w:val="12"/>
          <w:szCs w:val="12"/>
        </w:rPr>
      </w:pPr>
      <w:r>
        <w:rPr>
          <w:rFonts w:ascii="Times New Roman" w:hAnsi="Times New Roman"/>
          <w:b/>
          <w:sz w:val="12"/>
        </w:rPr>
        <w:t>Zdroje:</w:t>
      </w:r>
    </w:p>
    <w:p w14:paraId="634D9C1A" w14:textId="77777777" w:rsidR="00663C33" w:rsidRPr="007D0828" w:rsidRDefault="00663C33" w:rsidP="00663C33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1"/>
          <w:szCs w:val="12"/>
        </w:rPr>
        <w:t>*1 Minich D. M., Bland J. S. A review of the clinical efficacy and safety of cruciferous vegetable phytochemicals. Nutrition Reviews. 2007;65(6):259-267. doi:10.1111/j.1753-4887.2007.tb00303.x; PMID:17605302.</w:t>
      </w:r>
    </w:p>
    <w:p w14:paraId="336A79E5" w14:textId="77777777" w:rsidR="00663C33" w:rsidRPr="007D0828" w:rsidRDefault="00663C33" w:rsidP="00663C33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1"/>
          <w:szCs w:val="12"/>
        </w:rPr>
        <w:t>*2 Wong G. Y. et al. Dose-ranging study of indole-3-carbinol for breast cancer prevention. J Cell Biochem Suppl. 1997;28-29:111-116. PMID:9589355; Bradlow H. L. et al. Long-term responses of women to indole-3-carbinol or a high fiber diet. Cancer Epidemiol Biomarkers Prev. 1994;3(7):591-595. PMID:7827590.</w:t>
      </w:r>
    </w:p>
    <w:p w14:paraId="16D327FA" w14:textId="77777777" w:rsidR="00663C33" w:rsidRPr="007D0828" w:rsidRDefault="00663C33" w:rsidP="00663C33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12"/>
          <w:szCs w:val="12"/>
          <w:lang w:eastAsia="sk-SK"/>
        </w:rPr>
      </w:pPr>
      <w:r>
        <w:rPr>
          <w:rFonts w:ascii="Times New Roman" w:eastAsia="Times New Roman" w:hAnsi="Times New Roman" w:cs="Times New Roman"/>
          <w:bCs/>
          <w:kern w:val="36"/>
          <w:sz w:val="11"/>
          <w:szCs w:val="12"/>
          <w:lang w:eastAsia="sk-SK"/>
        </w:rPr>
        <w:t>*3 Michnovicz J. J., Bradlow H. L. Induction of estradiol metabolism by dietary indole-3-carbinol in humans. J Natl Cancer Inst. 1990;82(11):947-949. doi:10.1093/jnci/82.11.947; PMID:2342128; Michnovicz J. J. et al. Altered estrogen metabolism and excretion in humans following consumption of indole-3-carbinol. Nutr Cancer. 1991;16(1):59-66. doi:10.1080/01635589109514141; PMID:1656396.</w:t>
      </w:r>
    </w:p>
    <w:p w14:paraId="3DB156DF" w14:textId="77777777" w:rsidR="00663C33" w:rsidRPr="007D0828" w:rsidRDefault="00663C33" w:rsidP="00663C33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1"/>
          <w:szCs w:val="12"/>
        </w:rPr>
        <w:t>*4 Cheng A. L. et al. Phase I clinical trial of curcumin, a chemopreventive agent, in patients with high-risk or pre-malignant lesions. Anticancer Research. 2001;21(4B):2895-2900. PMID:11712783.</w:t>
      </w:r>
    </w:p>
    <w:p w14:paraId="7BACAF23" w14:textId="455EDCE8" w:rsidR="00150BC1" w:rsidRPr="007D0828" w:rsidRDefault="00150BC1" w:rsidP="00663C33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sectPr w:rsidR="00150BC1" w:rsidRPr="007D0828" w:rsidSect="00003ABD">
      <w:pgSz w:w="8391" w:h="11906" w:code="11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3FC"/>
    <w:rsid w:val="0000008A"/>
    <w:rsid w:val="00003ABD"/>
    <w:rsid w:val="0001787E"/>
    <w:rsid w:val="000247AE"/>
    <w:rsid w:val="001505FB"/>
    <w:rsid w:val="00150BC1"/>
    <w:rsid w:val="001A2D5A"/>
    <w:rsid w:val="00224B23"/>
    <w:rsid w:val="002B388F"/>
    <w:rsid w:val="002C1B07"/>
    <w:rsid w:val="002D3D0F"/>
    <w:rsid w:val="002E0A21"/>
    <w:rsid w:val="00312A56"/>
    <w:rsid w:val="00321AEE"/>
    <w:rsid w:val="003E64FC"/>
    <w:rsid w:val="00405303"/>
    <w:rsid w:val="00445F4E"/>
    <w:rsid w:val="00473F35"/>
    <w:rsid w:val="00486F45"/>
    <w:rsid w:val="00493C1C"/>
    <w:rsid w:val="004B3E37"/>
    <w:rsid w:val="00502CFA"/>
    <w:rsid w:val="0052229B"/>
    <w:rsid w:val="00530D33"/>
    <w:rsid w:val="005517A0"/>
    <w:rsid w:val="00563B26"/>
    <w:rsid w:val="005B4DE4"/>
    <w:rsid w:val="005C451C"/>
    <w:rsid w:val="00625956"/>
    <w:rsid w:val="0063595C"/>
    <w:rsid w:val="00663C33"/>
    <w:rsid w:val="006752E7"/>
    <w:rsid w:val="00685E23"/>
    <w:rsid w:val="006964E3"/>
    <w:rsid w:val="006A664E"/>
    <w:rsid w:val="007579C5"/>
    <w:rsid w:val="007D0828"/>
    <w:rsid w:val="007D2627"/>
    <w:rsid w:val="007F03FC"/>
    <w:rsid w:val="007F3F3B"/>
    <w:rsid w:val="007F5591"/>
    <w:rsid w:val="00822407"/>
    <w:rsid w:val="00824F96"/>
    <w:rsid w:val="0083108B"/>
    <w:rsid w:val="00872932"/>
    <w:rsid w:val="00880205"/>
    <w:rsid w:val="008F5F7F"/>
    <w:rsid w:val="00954811"/>
    <w:rsid w:val="00964595"/>
    <w:rsid w:val="009E756A"/>
    <w:rsid w:val="00A03DC0"/>
    <w:rsid w:val="00A2295A"/>
    <w:rsid w:val="00A37F1F"/>
    <w:rsid w:val="00A95355"/>
    <w:rsid w:val="00B3154E"/>
    <w:rsid w:val="00B36CCB"/>
    <w:rsid w:val="00B545F6"/>
    <w:rsid w:val="00B92BB7"/>
    <w:rsid w:val="00BA4B01"/>
    <w:rsid w:val="00BA50F4"/>
    <w:rsid w:val="00BB2228"/>
    <w:rsid w:val="00BF043F"/>
    <w:rsid w:val="00C50C7F"/>
    <w:rsid w:val="00C71D25"/>
    <w:rsid w:val="00D6260F"/>
    <w:rsid w:val="00DE2C53"/>
    <w:rsid w:val="00E13EF5"/>
    <w:rsid w:val="00E21533"/>
    <w:rsid w:val="00E91482"/>
    <w:rsid w:val="00EB6687"/>
    <w:rsid w:val="00EC742F"/>
    <w:rsid w:val="00F00A49"/>
    <w:rsid w:val="00F904D0"/>
    <w:rsid w:val="00FD1445"/>
    <w:rsid w:val="00FD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30814"/>
  <w15:chartTrackingRefBased/>
  <w15:docId w15:val="{92C20D28-707B-4765-A401-47029B2FB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359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8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Martin Malecky</cp:lastModifiedBy>
  <cp:revision>9</cp:revision>
  <cp:lastPrinted>2025-02-06T14:18:00Z</cp:lastPrinted>
  <dcterms:created xsi:type="dcterms:W3CDTF">2026-09-23T21:48:00Z</dcterms:created>
  <dcterms:modified xsi:type="dcterms:W3CDTF">2026-09-24T10:36:00Z</dcterms:modified>
</cp:coreProperties>
</file>